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8220" w14:textId="77777777" w:rsidR="00A92F63" w:rsidRDefault="00A92F63" w:rsidP="00A92F63">
      <w:pPr>
        <w:spacing w:before="100" w:after="100" w:line="240" w:lineRule="auto"/>
        <w:outlineLvl w:val="0"/>
        <w:rPr>
          <w:rFonts w:ascii="inherit" w:eastAsia="Times New Roman" w:hAnsi="inherit"/>
          <w:b/>
          <w:bCs/>
          <w:kern w:val="3"/>
          <w:sz w:val="34"/>
          <w:szCs w:val="48"/>
          <w:lang w:eastAsia="cs-CZ"/>
        </w:rPr>
      </w:pPr>
      <w:r>
        <w:rPr>
          <w:rFonts w:ascii="inherit" w:eastAsia="Times New Roman" w:hAnsi="inherit"/>
          <w:b/>
          <w:bCs/>
          <w:kern w:val="3"/>
          <w:sz w:val="34"/>
          <w:szCs w:val="48"/>
          <w:lang w:eastAsia="cs-CZ"/>
        </w:rPr>
        <w:t>Péče o náramky</w:t>
      </w:r>
    </w:p>
    <w:p w14:paraId="1FFFF93E" w14:textId="77777777" w:rsidR="00A92F63" w:rsidRDefault="00A92F63" w:rsidP="00A92F63">
      <w:pPr>
        <w:suppressAutoHyphens w:val="0"/>
        <w:autoSpaceDN/>
        <w:spacing w:after="0"/>
        <w:sectPr w:rsidR="00A92F63"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156112C" w14:textId="77777777" w:rsidR="00F7735C" w:rsidRPr="00F7735C" w:rsidRDefault="00F7735C" w:rsidP="00F7735C">
      <w:pPr>
        <w:suppressAutoHyphens w:val="0"/>
        <w:autoSpaceDN/>
        <w:spacing w:after="100" w:afterAutospacing="1" w:line="240" w:lineRule="auto"/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</w:pP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Korálky jsou z bižuterních materiálů, které nejsou tak trvanlivé jako drahé kovy. Proto jsou náramky vhodné na příležitostní nošení. Pokud budete dodržovat níže uvedené zásady, náramek bude po dlouhou dobu vypadat jako nový.</w:t>
      </w:r>
    </w:p>
    <w:p w14:paraId="7DDD7E60" w14:textId="77777777" w:rsidR="00F7735C" w:rsidRPr="00F7735C" w:rsidRDefault="00F7735C" w:rsidP="00F7735C">
      <w:pPr>
        <w:suppressAutoHyphens w:val="0"/>
        <w:autoSpaceDN/>
        <w:spacing w:after="100" w:afterAutospacing="1" w:line="240" w:lineRule="auto"/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</w:pP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Je vhodné provést nejprve veškeré kosmetické úpravy a až následně si navléct náramek. Kosmetika obsahuje chemické látky, které mohou narušit nebo poškodit povrchovou úpravu korálků.</w:t>
      </w:r>
      <w:r w:rsidRPr="00F7735C"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  <w:br/>
      </w:r>
      <w:r w:rsidRPr="00F7735C"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  <w:br/>
      </w: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Náramkům škodí slaná a chlórová voda a přímé záření sluníčka. </w:t>
      </w:r>
      <w:r w:rsidRPr="00F7735C"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  <w:br/>
      </w: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Je vhodné si jej odložit i při spaní, sportu a nemoci.</w:t>
      </w:r>
    </w:p>
    <w:p w14:paraId="35462E53" w14:textId="77777777" w:rsidR="00F7735C" w:rsidRPr="00F7735C" w:rsidRDefault="00F7735C" w:rsidP="00F7735C">
      <w:pPr>
        <w:suppressAutoHyphens w:val="0"/>
        <w:autoSpaceDN/>
        <w:spacing w:after="100" w:afterAutospacing="1" w:line="240" w:lineRule="auto"/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</w:pP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Nejlépe jej uložte do šperkovnice, kde budou chráněny proti všem vlivům světla a vlhkosti.</w:t>
      </w:r>
    </w:p>
    <w:p w14:paraId="606BECF5" w14:textId="1EBCC0D2" w:rsidR="00F7735C" w:rsidRPr="00F7735C" w:rsidRDefault="00F7735C" w:rsidP="00F7735C">
      <w:pPr>
        <w:suppressAutoHyphens w:val="0"/>
        <w:autoSpaceDN/>
        <w:spacing w:after="100" w:afterAutospacing="1" w:line="240" w:lineRule="auto"/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</w:pPr>
      <w:r w:rsidRPr="00F7735C">
        <w:rPr>
          <w:rFonts w:ascii="Noto Sans" w:eastAsia="Times New Roman" w:hAnsi="Noto Sans" w:cs="Noto Sans"/>
          <w:noProof/>
          <w:color w:val="000000"/>
          <w:sz w:val="24"/>
          <w:szCs w:val="24"/>
          <w:lang w:eastAsia="cs-CZ"/>
        </w:rPr>
        <w:drawing>
          <wp:inline distT="0" distB="0" distL="0" distR="0" wp14:anchorId="687666E3" wp14:editId="188418EB">
            <wp:extent cx="2979420" cy="17602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E65CC" w14:textId="77777777" w:rsidR="00F7735C" w:rsidRPr="00F7735C" w:rsidRDefault="00F7735C" w:rsidP="00F7735C">
      <w:pPr>
        <w:suppressAutoHyphens w:val="0"/>
        <w:autoSpaceDN/>
        <w:spacing w:after="100" w:afterAutospacing="1" w:line="240" w:lineRule="auto"/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</w:pP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Vzhledem k bižuternímu materiálu budou časem patrné známky opotřebení, i přes dodržování těchto zásad. Proto se nejedná o závadu, ale o běžné opotřebení, na které se nevztahuje záruka. Viz obchodní podmínky:</w:t>
      </w:r>
      <w:r w:rsidRPr="00F7735C"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  <w:br/>
      </w:r>
      <w:r w:rsidRPr="00F7735C"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  <w:br/>
      </w: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Kupující bere na vědomí, že dle ustanovení § 1837 občanského zákoníku,</w:t>
      </w:r>
      <w:r w:rsidRPr="00F7735C">
        <w:rPr>
          <w:rFonts w:ascii="Noto Sans" w:eastAsia="Times New Roman" w:hAnsi="Noto Sans" w:cs="Noto Sans"/>
          <w:color w:val="F80101"/>
          <w:sz w:val="24"/>
          <w:szCs w:val="24"/>
          <w:lang w:eastAsia="cs-CZ"/>
        </w:rPr>
        <w:t> nelze mimo jiné odstoupit od kupní smlouvy o dodávce zboží, které bylo upraveno podle přání kupujícího nebo pro jeho osobu, od kupní smlouvy o dodávce zboží, které podléhá rychlé zkáze,</w:t>
      </w:r>
      <w:r w:rsidRPr="00F7735C">
        <w:rPr>
          <w:rFonts w:ascii="Noto Sans" w:eastAsia="Times New Roman" w:hAnsi="Noto Sans" w:cs="Noto Sans"/>
          <w:color w:val="7A7A7A"/>
          <w:sz w:val="24"/>
          <w:szCs w:val="24"/>
          <w:lang w:eastAsia="cs-CZ"/>
        </w:rPr>
        <w:t> </w:t>
      </w:r>
      <w:r w:rsidRPr="00F7735C">
        <w:rPr>
          <w:rFonts w:ascii="Noto Sans" w:eastAsia="Times New Roman" w:hAnsi="Noto Sans" w:cs="Noto Sans"/>
          <w:color w:val="000000"/>
          <w:sz w:val="24"/>
          <w:szCs w:val="24"/>
          <w:lang w:eastAsia="cs-CZ"/>
        </w:rPr>
        <w:t>jakož i zboží, které bylo po dodání nenávratně smíseno s jiným zbožím, od kupní smlouvy o dodávce zboží v uzavřeném obalu, které spotřebitel z obalu vyňal a z hygienických důvodů jej není možné vrátit a od kupní smlouvy o dodávce zvukové nebo obrazové nahrávky nebo počítačového programu, pokud porušil jejich původní obal.</w:t>
      </w:r>
    </w:p>
    <w:p w14:paraId="46AA7082" w14:textId="77777777" w:rsidR="00805E26" w:rsidRPr="00A92F63" w:rsidRDefault="00805E26" w:rsidP="00F7735C"/>
    <w:sectPr w:rsidR="00805E26" w:rsidRPr="00A92F63" w:rsidSect="00F773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63"/>
    <w:rsid w:val="004B719D"/>
    <w:rsid w:val="005F2804"/>
    <w:rsid w:val="00805E26"/>
    <w:rsid w:val="00A92F63"/>
    <w:rsid w:val="00F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BAE"/>
  <w15:chartTrackingRefBased/>
  <w15:docId w15:val="{C1ACAD28-E6C2-4B4B-8B81-F80C855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F63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735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Ivana Hoppová</cp:lastModifiedBy>
  <cp:revision>5</cp:revision>
  <dcterms:created xsi:type="dcterms:W3CDTF">2017-12-19T19:31:00Z</dcterms:created>
  <dcterms:modified xsi:type="dcterms:W3CDTF">2022-10-27T08:54:00Z</dcterms:modified>
</cp:coreProperties>
</file>